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42FC5" w14:textId="77777777" w:rsidR="0059267F" w:rsidRDefault="0059267F" w:rsidP="0059267F">
      <w:pPr>
        <w:jc w:val="center"/>
        <w:rPr>
          <w:rFonts w:ascii="Helvetica" w:hAnsi="Helvetica" w:cs="Helvetica"/>
          <w:b/>
          <w:sz w:val="40"/>
          <w:szCs w:val="40"/>
        </w:rPr>
      </w:pPr>
    </w:p>
    <w:p w14:paraId="4D8988A9" w14:textId="77777777" w:rsidR="0059267F" w:rsidRPr="008962FB" w:rsidRDefault="0059267F" w:rsidP="008962FB">
      <w:pPr>
        <w:jc w:val="center"/>
        <w:rPr>
          <w:rFonts w:ascii="Arial" w:hAnsi="Arial" w:cs="Arial"/>
          <w:b/>
          <w:sz w:val="40"/>
          <w:szCs w:val="40"/>
        </w:rPr>
      </w:pPr>
      <w:r w:rsidRPr="00B471C7">
        <w:rPr>
          <w:rFonts w:ascii="Arial" w:hAnsi="Arial" w:cs="Arial"/>
          <w:b/>
          <w:sz w:val="40"/>
          <w:szCs w:val="40"/>
        </w:rPr>
        <w:t xml:space="preserve">ANNEXE </w:t>
      </w:r>
      <w:r>
        <w:rPr>
          <w:rFonts w:ascii="Arial" w:hAnsi="Arial" w:cs="Arial"/>
          <w:b/>
          <w:sz w:val="40"/>
          <w:szCs w:val="40"/>
        </w:rPr>
        <w:t>3</w:t>
      </w:r>
      <w:r w:rsidRPr="00B471C7">
        <w:rPr>
          <w:rFonts w:ascii="Arial" w:hAnsi="Arial" w:cs="Arial"/>
          <w:b/>
          <w:sz w:val="40"/>
          <w:szCs w:val="40"/>
        </w:rPr>
        <w:t xml:space="preserve"> – Fiche de réponse financière</w:t>
      </w:r>
    </w:p>
    <w:p w14:paraId="304C8B0B" w14:textId="77777777" w:rsidR="0059267F" w:rsidRPr="00B471C7" w:rsidRDefault="0059267F" w:rsidP="0059267F">
      <w:pPr>
        <w:rPr>
          <w:rFonts w:ascii="Arial" w:hAnsi="Arial" w:cs="Arial"/>
          <w:b/>
        </w:rPr>
      </w:pPr>
    </w:p>
    <w:p w14:paraId="037F0210" w14:textId="47FCD5D5" w:rsidR="0059267F" w:rsidRDefault="006F34F2" w:rsidP="000D68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Consultation formalisée </w:t>
      </w:r>
      <w:r w:rsidR="00722E06" w:rsidRPr="00722E06">
        <w:rPr>
          <w:rFonts w:ascii="Arial" w:hAnsi="Arial" w:cs="Arial"/>
          <w:b/>
        </w:rPr>
        <w:t>CF OIF/DAF/02-2026</w:t>
      </w:r>
      <w:r w:rsidR="00722E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</w:t>
      </w:r>
      <w:r w:rsidR="000D6820">
        <w:rPr>
          <w:rFonts w:ascii="Arial" w:hAnsi="Arial" w:cs="Arial"/>
          <w:b/>
        </w:rPr>
        <w:t xml:space="preserve">Offre financière pour </w:t>
      </w:r>
      <w:r w:rsidR="00614307">
        <w:rPr>
          <w:rFonts w:ascii="Arial" w:hAnsi="Arial" w:cs="Arial"/>
          <w:b/>
        </w:rPr>
        <w:t>a</w:t>
      </w:r>
      <w:r w:rsidR="00E3230C" w:rsidRPr="00E3230C">
        <w:rPr>
          <w:rFonts w:ascii="Arial" w:hAnsi="Arial" w:cs="Arial"/>
          <w:b/>
        </w:rPr>
        <w:t xml:space="preserve">udit </w:t>
      </w:r>
      <w:r w:rsidR="000D6820">
        <w:rPr>
          <w:rFonts w:ascii="Arial" w:hAnsi="Arial" w:cs="Arial"/>
          <w:b/>
        </w:rPr>
        <w:t>externe préparatoire à l’évaluation de la conformité</w:t>
      </w:r>
      <w:r w:rsidR="00E3230C" w:rsidRPr="00E3230C">
        <w:rPr>
          <w:rFonts w:ascii="Arial" w:hAnsi="Arial" w:cs="Arial"/>
          <w:b/>
        </w:rPr>
        <w:t xml:space="preserve"> </w:t>
      </w:r>
      <w:r w:rsidR="00B6538B">
        <w:rPr>
          <w:rFonts w:ascii="Arial" w:hAnsi="Arial" w:cs="Arial"/>
          <w:b/>
        </w:rPr>
        <w:t xml:space="preserve">de l’OIF </w:t>
      </w:r>
      <w:r w:rsidR="000D6820">
        <w:rPr>
          <w:rFonts w:ascii="Arial" w:hAnsi="Arial" w:cs="Arial"/>
          <w:b/>
        </w:rPr>
        <w:t>à l’égard des</w:t>
      </w:r>
      <w:r w:rsidR="00B6538B">
        <w:rPr>
          <w:rFonts w:ascii="Arial" w:hAnsi="Arial" w:cs="Arial"/>
          <w:b/>
        </w:rPr>
        <w:t xml:space="preserve"> piliers </w:t>
      </w:r>
      <w:r w:rsidR="00B6538B" w:rsidRPr="00E3230C">
        <w:rPr>
          <w:rFonts w:ascii="Arial" w:hAnsi="Arial" w:cs="Arial"/>
          <w:b/>
        </w:rPr>
        <w:t>de l’Union européenne</w:t>
      </w:r>
      <w:r w:rsidR="008962FB">
        <w:rPr>
          <w:rFonts w:ascii="Arial" w:hAnsi="Arial" w:cs="Arial"/>
          <w:b/>
        </w:rPr>
        <w:t xml:space="preserve"> </w:t>
      </w:r>
    </w:p>
    <w:p w14:paraId="3A7EC3DB" w14:textId="77777777" w:rsidR="0064525A" w:rsidRPr="00B471C7" w:rsidRDefault="0064525A" w:rsidP="0064525A">
      <w:pPr>
        <w:jc w:val="center"/>
        <w:rPr>
          <w:rFonts w:ascii="Arial" w:hAnsi="Arial" w:cs="Arial"/>
          <w:b/>
        </w:rPr>
      </w:pPr>
    </w:p>
    <w:p w14:paraId="2C2C6A33" w14:textId="6D7ED0BD" w:rsidR="0059267F" w:rsidRDefault="0059267F" w:rsidP="000D6820">
      <w:pPr>
        <w:jc w:val="both"/>
        <w:rPr>
          <w:rFonts w:ascii="Arial" w:eastAsiaTheme="minorEastAsia" w:hAnsi="Arial" w:cs="Arial"/>
          <w:sz w:val="22"/>
          <w:szCs w:val="22"/>
        </w:rPr>
      </w:pPr>
      <w:r w:rsidRPr="00B471C7">
        <w:rPr>
          <w:rFonts w:ascii="Arial" w:eastAsiaTheme="minorEastAsia" w:hAnsi="Arial" w:cs="Arial"/>
          <w:sz w:val="22"/>
          <w:szCs w:val="22"/>
        </w:rPr>
        <w:t xml:space="preserve">Les soumissionnaires doivent fournir une tarification </w:t>
      </w:r>
      <w:r w:rsidR="000613CC">
        <w:rPr>
          <w:rFonts w:ascii="Arial" w:eastAsiaTheme="minorEastAsia" w:hAnsi="Arial" w:cs="Arial"/>
          <w:sz w:val="22"/>
          <w:szCs w:val="22"/>
        </w:rPr>
        <w:t xml:space="preserve">sur la base des livrables décrits ci-après </w:t>
      </w:r>
      <w:r w:rsidR="00100C48">
        <w:rPr>
          <w:rFonts w:ascii="Arial" w:eastAsiaTheme="minorEastAsia" w:hAnsi="Arial" w:cs="Arial"/>
          <w:sz w:val="22"/>
          <w:szCs w:val="22"/>
        </w:rPr>
        <w:t xml:space="preserve">en adéquation avec </w:t>
      </w:r>
      <w:r w:rsidR="00AE4220">
        <w:rPr>
          <w:rFonts w:ascii="Arial" w:eastAsiaTheme="minorEastAsia" w:hAnsi="Arial" w:cs="Arial"/>
          <w:sz w:val="22"/>
          <w:szCs w:val="22"/>
        </w:rPr>
        <w:t>l</w:t>
      </w:r>
      <w:r w:rsidR="000613CC">
        <w:rPr>
          <w:rFonts w:ascii="Arial" w:eastAsiaTheme="minorEastAsia" w:hAnsi="Arial" w:cs="Arial"/>
          <w:sz w:val="22"/>
          <w:szCs w:val="22"/>
        </w:rPr>
        <w:t xml:space="preserve">a composition </w:t>
      </w:r>
      <w:r w:rsidR="00AE4220">
        <w:rPr>
          <w:rFonts w:ascii="Arial" w:eastAsiaTheme="minorEastAsia" w:hAnsi="Arial" w:cs="Arial"/>
          <w:sz w:val="22"/>
          <w:szCs w:val="22"/>
        </w:rPr>
        <w:t xml:space="preserve">de </w:t>
      </w:r>
      <w:r w:rsidR="00100C48">
        <w:rPr>
          <w:rFonts w:ascii="Arial" w:eastAsiaTheme="minorEastAsia" w:hAnsi="Arial" w:cs="Arial"/>
          <w:sz w:val="22"/>
          <w:szCs w:val="22"/>
        </w:rPr>
        <w:t>l’</w:t>
      </w:r>
      <w:r w:rsidR="00AE4220">
        <w:rPr>
          <w:rFonts w:ascii="Arial" w:eastAsiaTheme="minorEastAsia" w:hAnsi="Arial" w:cs="Arial"/>
          <w:sz w:val="22"/>
          <w:szCs w:val="22"/>
        </w:rPr>
        <w:t>équipe</w:t>
      </w:r>
      <w:r w:rsidR="00100C48">
        <w:rPr>
          <w:rFonts w:ascii="Arial" w:eastAsiaTheme="minorEastAsia" w:hAnsi="Arial" w:cs="Arial"/>
          <w:sz w:val="22"/>
          <w:szCs w:val="22"/>
        </w:rPr>
        <w:t xml:space="preserve"> technique </w:t>
      </w:r>
      <w:r w:rsidR="00AE4220">
        <w:rPr>
          <w:rFonts w:ascii="Arial" w:eastAsiaTheme="minorEastAsia" w:hAnsi="Arial" w:cs="Arial"/>
          <w:sz w:val="22"/>
          <w:szCs w:val="22"/>
        </w:rPr>
        <w:t>proposée</w:t>
      </w:r>
      <w:r w:rsidR="00100C48">
        <w:rPr>
          <w:rFonts w:ascii="Arial" w:eastAsiaTheme="minorEastAsia" w:hAnsi="Arial" w:cs="Arial"/>
          <w:sz w:val="22"/>
          <w:szCs w:val="22"/>
        </w:rPr>
        <w:t xml:space="preserve"> </w:t>
      </w:r>
      <w:r w:rsidR="003B1766">
        <w:rPr>
          <w:rFonts w:ascii="Arial" w:eastAsiaTheme="minorEastAsia" w:hAnsi="Arial" w:cs="Arial"/>
          <w:sz w:val="22"/>
          <w:szCs w:val="22"/>
        </w:rPr>
        <w:t>(</w:t>
      </w:r>
      <w:r w:rsidR="003B1766" w:rsidRPr="00B471C7">
        <w:rPr>
          <w:rFonts w:ascii="Arial" w:eastAsiaTheme="minorEastAsia" w:hAnsi="Arial" w:cs="Arial"/>
          <w:sz w:val="22"/>
          <w:szCs w:val="22"/>
        </w:rPr>
        <w:t>nombre de jours</w:t>
      </w:r>
      <w:r w:rsidR="003B1766">
        <w:rPr>
          <w:rFonts w:ascii="Arial" w:eastAsiaTheme="minorEastAsia" w:hAnsi="Arial" w:cs="Arial"/>
          <w:sz w:val="22"/>
          <w:szCs w:val="22"/>
        </w:rPr>
        <w:t>-</w:t>
      </w:r>
      <w:r w:rsidR="003B1766" w:rsidRPr="00B471C7">
        <w:rPr>
          <w:rFonts w:ascii="Arial" w:eastAsiaTheme="minorEastAsia" w:hAnsi="Arial" w:cs="Arial"/>
          <w:sz w:val="22"/>
          <w:szCs w:val="22"/>
        </w:rPr>
        <w:t>homme</w:t>
      </w:r>
      <w:r w:rsidR="003B1766">
        <w:rPr>
          <w:rFonts w:ascii="Arial" w:eastAsiaTheme="minorEastAsia" w:hAnsi="Arial" w:cs="Arial"/>
          <w:sz w:val="22"/>
          <w:szCs w:val="22"/>
        </w:rPr>
        <w:t>)</w:t>
      </w:r>
      <w:r w:rsidR="003B1766" w:rsidRPr="00B471C7">
        <w:rPr>
          <w:rFonts w:ascii="Arial" w:eastAsiaTheme="minorEastAsia" w:hAnsi="Arial" w:cs="Arial"/>
          <w:sz w:val="22"/>
          <w:szCs w:val="22"/>
        </w:rPr>
        <w:t xml:space="preserve"> </w:t>
      </w:r>
      <w:r w:rsidR="00100C48">
        <w:rPr>
          <w:rFonts w:ascii="Arial" w:eastAsiaTheme="minorEastAsia" w:hAnsi="Arial" w:cs="Arial"/>
          <w:sz w:val="22"/>
          <w:szCs w:val="22"/>
        </w:rPr>
        <w:t xml:space="preserve">et le </w:t>
      </w:r>
      <w:r w:rsidR="00AE4220">
        <w:rPr>
          <w:rFonts w:ascii="Arial" w:eastAsiaTheme="minorEastAsia" w:hAnsi="Arial" w:cs="Arial"/>
          <w:sz w:val="22"/>
          <w:szCs w:val="22"/>
        </w:rPr>
        <w:t>co</w:t>
      </w:r>
      <w:r w:rsidR="00251B96">
        <w:rPr>
          <w:rFonts w:ascii="Arial" w:eastAsiaTheme="minorEastAsia" w:hAnsi="Arial" w:cs="Arial"/>
          <w:sz w:val="22"/>
          <w:szCs w:val="22"/>
        </w:rPr>
        <w:t>û</w:t>
      </w:r>
      <w:r w:rsidR="00AE4220">
        <w:rPr>
          <w:rFonts w:ascii="Arial" w:eastAsiaTheme="minorEastAsia" w:hAnsi="Arial" w:cs="Arial"/>
          <w:sz w:val="22"/>
          <w:szCs w:val="22"/>
        </w:rPr>
        <w:t>t</w:t>
      </w:r>
      <w:r w:rsidR="00100C48">
        <w:rPr>
          <w:rFonts w:ascii="Arial" w:eastAsiaTheme="minorEastAsia" w:hAnsi="Arial" w:cs="Arial"/>
          <w:sz w:val="22"/>
          <w:szCs w:val="22"/>
        </w:rPr>
        <w:t xml:space="preserve"> </w:t>
      </w:r>
      <w:r w:rsidR="003B1766">
        <w:rPr>
          <w:rFonts w:ascii="Arial" w:eastAsiaTheme="minorEastAsia" w:hAnsi="Arial" w:cs="Arial"/>
          <w:sz w:val="22"/>
          <w:szCs w:val="22"/>
        </w:rPr>
        <w:t>pour chaque</w:t>
      </w:r>
      <w:r w:rsidR="008D65AB">
        <w:rPr>
          <w:rFonts w:ascii="Arial" w:eastAsiaTheme="minorEastAsia" w:hAnsi="Arial" w:cs="Arial"/>
          <w:sz w:val="22"/>
          <w:szCs w:val="22"/>
        </w:rPr>
        <w:t xml:space="preserve"> catégorie d’auditeur</w:t>
      </w:r>
      <w:r w:rsidR="003B1766">
        <w:rPr>
          <w:rFonts w:ascii="Arial" w:eastAsiaTheme="minorEastAsia" w:hAnsi="Arial" w:cs="Arial"/>
          <w:sz w:val="22"/>
          <w:szCs w:val="22"/>
        </w:rPr>
        <w:t>.</w:t>
      </w:r>
    </w:p>
    <w:p w14:paraId="3EF2DE80" w14:textId="77777777" w:rsidR="003B1766" w:rsidRPr="00B471C7" w:rsidRDefault="003B1766" w:rsidP="00AE4220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064EA248" w14:textId="77777777" w:rsidR="0059267F" w:rsidRDefault="0059267F" w:rsidP="0059267F">
      <w:pPr>
        <w:rPr>
          <w:rFonts w:ascii="Arial" w:hAnsi="Arial" w:cs="Arial"/>
          <w:b/>
        </w:rPr>
      </w:pPr>
    </w:p>
    <w:p w14:paraId="11B4461A" w14:textId="77777777" w:rsidR="0064525A" w:rsidRPr="00B471C7" w:rsidRDefault="0064525A" w:rsidP="0059267F">
      <w:pPr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2517"/>
        <w:gridCol w:w="1843"/>
        <w:gridCol w:w="2551"/>
      </w:tblGrid>
      <w:tr w:rsidR="008E3E4A" w:rsidRPr="00B471C7" w14:paraId="0BD592ED" w14:textId="77777777" w:rsidTr="000D6820">
        <w:trPr>
          <w:trHeight w:val="483"/>
        </w:trPr>
        <w:tc>
          <w:tcPr>
            <w:tcW w:w="2729" w:type="dxa"/>
            <w:shd w:val="clear" w:color="auto" w:fill="B8CCE4" w:themeFill="accent1" w:themeFillTint="66"/>
            <w:vAlign w:val="center"/>
          </w:tcPr>
          <w:p w14:paraId="4BF211C9" w14:textId="120DC2ED" w:rsidR="008E3E4A" w:rsidRPr="00B471C7" w:rsidRDefault="000613CC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Livrables</w:t>
            </w:r>
          </w:p>
        </w:tc>
        <w:tc>
          <w:tcPr>
            <w:tcW w:w="2517" w:type="dxa"/>
            <w:shd w:val="clear" w:color="auto" w:fill="B8CCE4" w:themeFill="accent1" w:themeFillTint="66"/>
            <w:vAlign w:val="center"/>
          </w:tcPr>
          <w:p w14:paraId="20A12AA8" w14:textId="733D58FF" w:rsidR="008E3E4A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7F69D2">
              <w:rPr>
                <w:rFonts w:ascii="Arial" w:hAnsi="Arial" w:cs="Arial"/>
                <w:sz w:val="22"/>
                <w:szCs w:val="22"/>
              </w:rPr>
              <w:t>û</w:t>
            </w:r>
            <w:r>
              <w:rPr>
                <w:rFonts w:ascii="Arial" w:hAnsi="Arial" w:cs="Arial"/>
                <w:sz w:val="22"/>
                <w:szCs w:val="22"/>
              </w:rPr>
              <w:t>t journalier par catégorie</w:t>
            </w:r>
            <w:r w:rsidR="007F69D2">
              <w:rPr>
                <w:rFonts w:ascii="Arial" w:hAnsi="Arial" w:cs="Arial"/>
                <w:sz w:val="22"/>
                <w:szCs w:val="22"/>
              </w:rPr>
              <w:t xml:space="preserve"> d’auditeur</w:t>
            </w:r>
          </w:p>
          <w:p w14:paraId="61EE3251" w14:textId="1BE351E6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B471C7">
              <w:rPr>
                <w:rFonts w:ascii="Arial" w:hAnsi="Arial" w:cs="Arial"/>
                <w:sz w:val="22"/>
                <w:szCs w:val="22"/>
              </w:rPr>
              <w:t>HT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0A0D2B9D" w14:textId="722F2EA2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1C7">
              <w:rPr>
                <w:rFonts w:ascii="Arial" w:hAnsi="Arial" w:cs="Arial"/>
                <w:sz w:val="22"/>
                <w:szCs w:val="22"/>
              </w:rPr>
              <w:t>N</w:t>
            </w:r>
            <w:r w:rsidR="007F69D2">
              <w:rPr>
                <w:rFonts w:ascii="Arial" w:hAnsi="Arial" w:cs="Arial"/>
                <w:sz w:val="22"/>
                <w:szCs w:val="22"/>
              </w:rPr>
              <w:t>ombre</w:t>
            </w:r>
            <w:r w:rsidRPr="00B471C7">
              <w:rPr>
                <w:rFonts w:ascii="Arial" w:hAnsi="Arial" w:cs="Arial"/>
                <w:sz w:val="22"/>
                <w:szCs w:val="22"/>
              </w:rPr>
              <w:t xml:space="preserve"> de jours</w:t>
            </w:r>
            <w:r>
              <w:rPr>
                <w:rFonts w:ascii="Arial" w:hAnsi="Arial" w:cs="Arial"/>
                <w:sz w:val="22"/>
                <w:szCs w:val="22"/>
              </w:rPr>
              <w:t>-homme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364EE5E0" w14:textId="77777777" w:rsidR="008E3E4A" w:rsidRPr="00B471C7" w:rsidRDefault="008E3E4A" w:rsidP="00214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Sous-total</w:t>
            </w:r>
          </w:p>
        </w:tc>
      </w:tr>
      <w:tr w:rsidR="008E3E4A" w:rsidRPr="00B471C7" w14:paraId="43AF8F86" w14:textId="77777777" w:rsidTr="000D6820">
        <w:trPr>
          <w:trHeight w:val="483"/>
        </w:trPr>
        <w:tc>
          <w:tcPr>
            <w:tcW w:w="2729" w:type="dxa"/>
            <w:shd w:val="clear" w:color="auto" w:fill="B8CCE4" w:themeFill="accent1" w:themeFillTint="66"/>
            <w:vAlign w:val="center"/>
          </w:tcPr>
          <w:p w14:paraId="1B724BB1" w14:textId="158A5E63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de cadrage (méthodologie et calendrier</w:t>
            </w:r>
            <w:r w:rsidR="000613CC">
              <w:rPr>
                <w:rFonts w:ascii="Arial" w:hAnsi="Arial" w:cs="Arial"/>
                <w:sz w:val="22"/>
                <w:szCs w:val="22"/>
              </w:rPr>
              <w:t xml:space="preserve"> détaillé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17" w:type="dxa"/>
            <w:vAlign w:val="center"/>
          </w:tcPr>
          <w:p w14:paraId="0ACE849E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C26788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0AA6D8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E4A" w:rsidRPr="00B471C7" w14:paraId="0F5175A3" w14:textId="77777777" w:rsidTr="000D6820">
        <w:trPr>
          <w:trHeight w:val="483"/>
        </w:trPr>
        <w:tc>
          <w:tcPr>
            <w:tcW w:w="2729" w:type="dxa"/>
            <w:shd w:val="clear" w:color="auto" w:fill="B8CCE4" w:themeFill="accent1" w:themeFillTint="66"/>
            <w:vAlign w:val="center"/>
          </w:tcPr>
          <w:p w14:paraId="4121E677" w14:textId="5B731FB0" w:rsidR="008E3E4A" w:rsidRPr="00B471C7" w:rsidRDefault="000613CC" w:rsidP="001E2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Questionnaire d’évaluation (cf. Annexe 2 et 2a de la Décision de la Commission européenne) </w:t>
            </w:r>
          </w:p>
        </w:tc>
        <w:tc>
          <w:tcPr>
            <w:tcW w:w="2517" w:type="dxa"/>
            <w:vAlign w:val="center"/>
          </w:tcPr>
          <w:p w14:paraId="4C933474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501C15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523895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E4A" w:rsidRPr="00B471C7" w14:paraId="49B7E1BC" w14:textId="77777777" w:rsidTr="000D6820">
        <w:trPr>
          <w:trHeight w:val="483"/>
        </w:trPr>
        <w:tc>
          <w:tcPr>
            <w:tcW w:w="2729" w:type="dxa"/>
            <w:shd w:val="clear" w:color="auto" w:fill="B8CCE4" w:themeFill="accent1" w:themeFillTint="66"/>
            <w:vAlign w:val="center"/>
          </w:tcPr>
          <w:p w14:paraId="431AA8F5" w14:textId="104E4E7F" w:rsidR="008E3E4A" w:rsidRPr="00B471C7" w:rsidRDefault="000613CC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Rapport de l’évaluation des piliers (cf. Annexe 4 de la Décision de la Commission européenne)</w:t>
            </w:r>
          </w:p>
        </w:tc>
        <w:tc>
          <w:tcPr>
            <w:tcW w:w="2517" w:type="dxa"/>
            <w:vAlign w:val="center"/>
          </w:tcPr>
          <w:p w14:paraId="70D0A86D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DA4D3E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D20FE0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E4A" w:rsidRPr="00B471C7" w14:paraId="6EED5A86" w14:textId="77777777" w:rsidTr="000D6820">
        <w:trPr>
          <w:trHeight w:val="483"/>
        </w:trPr>
        <w:tc>
          <w:tcPr>
            <w:tcW w:w="2729" w:type="dxa"/>
            <w:shd w:val="clear" w:color="auto" w:fill="B8CCE4" w:themeFill="accent1" w:themeFillTint="66"/>
            <w:vAlign w:val="center"/>
          </w:tcPr>
          <w:p w14:paraId="2E5BCF93" w14:textId="03E8E58A" w:rsidR="008E3E4A" w:rsidRPr="00B471C7" w:rsidRDefault="000613CC" w:rsidP="0006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sur l’estimation du temps et des ressources nécessaires pour mettre en œuvre les recommandations</w:t>
            </w:r>
          </w:p>
        </w:tc>
        <w:tc>
          <w:tcPr>
            <w:tcW w:w="2517" w:type="dxa"/>
            <w:vAlign w:val="center"/>
          </w:tcPr>
          <w:p w14:paraId="133711EC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B74434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BC064F2" w14:textId="77777777" w:rsidR="008E3E4A" w:rsidRPr="00B471C7" w:rsidRDefault="008E3E4A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B6B2E1" w14:textId="77777777" w:rsidR="0059267F" w:rsidRPr="00B471C7" w:rsidRDefault="0059267F" w:rsidP="0059267F">
      <w:pPr>
        <w:rPr>
          <w:sz w:val="22"/>
          <w:szCs w:val="22"/>
        </w:rPr>
      </w:pPr>
    </w:p>
    <w:p w14:paraId="55F9204D" w14:textId="77777777" w:rsidR="0059267F" w:rsidRPr="00B471C7" w:rsidRDefault="0059267F" w:rsidP="0059267F">
      <w:pPr>
        <w:rPr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954"/>
        <w:gridCol w:w="3260"/>
      </w:tblGrid>
      <w:tr w:rsidR="0059267F" w:rsidRPr="00B471C7" w14:paraId="62CE07E0" w14:textId="77777777" w:rsidTr="007C31C0">
        <w:trPr>
          <w:trHeight w:val="552"/>
        </w:trPr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51591D83" w14:textId="2A93C4FD" w:rsidR="0059267F" w:rsidRPr="00B471C7" w:rsidRDefault="0059267F" w:rsidP="006C01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1C7">
              <w:rPr>
                <w:rFonts w:ascii="Arial" w:hAnsi="Arial" w:cs="Arial"/>
                <w:b/>
                <w:sz w:val="22"/>
                <w:szCs w:val="22"/>
              </w:rPr>
              <w:t xml:space="preserve">Coût </w:t>
            </w:r>
            <w:r w:rsidR="00403ADE">
              <w:rPr>
                <w:rFonts w:ascii="Arial" w:hAnsi="Arial" w:cs="Arial"/>
                <w:b/>
                <w:sz w:val="22"/>
                <w:szCs w:val="22"/>
              </w:rPr>
              <w:t xml:space="preserve">estimé de la mission </w:t>
            </w:r>
            <w:r w:rsidRPr="00B471C7">
              <w:rPr>
                <w:rFonts w:ascii="Arial" w:hAnsi="Arial" w:cs="Arial"/>
                <w:b/>
                <w:sz w:val="22"/>
                <w:szCs w:val="22"/>
              </w:rPr>
              <w:t>d’</w:t>
            </w:r>
            <w:r w:rsidR="006C01C6">
              <w:rPr>
                <w:rFonts w:ascii="Arial" w:hAnsi="Arial" w:cs="Arial"/>
                <w:b/>
                <w:sz w:val="22"/>
                <w:szCs w:val="22"/>
              </w:rPr>
              <w:t>audit</w:t>
            </w:r>
          </w:p>
        </w:tc>
      </w:tr>
      <w:tr w:rsidR="0059267F" w:rsidRPr="00B471C7" w14:paraId="73F4E179" w14:textId="77777777" w:rsidTr="007C31C0">
        <w:trPr>
          <w:trHeight w:val="483"/>
        </w:trPr>
        <w:tc>
          <w:tcPr>
            <w:tcW w:w="3426" w:type="dxa"/>
            <w:shd w:val="clear" w:color="auto" w:fill="B8CCE4" w:themeFill="accent1" w:themeFillTint="66"/>
            <w:vAlign w:val="center"/>
          </w:tcPr>
          <w:p w14:paraId="1510FBB0" w14:textId="77777777" w:rsidR="0059267F" w:rsidRPr="00B471C7" w:rsidRDefault="0059267F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47944436" w14:textId="77777777" w:rsidR="0059267F" w:rsidRPr="00B471C7" w:rsidRDefault="0059267F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1C7">
              <w:rPr>
                <w:rFonts w:ascii="Arial" w:hAnsi="Arial" w:cs="Arial"/>
                <w:sz w:val="22"/>
                <w:szCs w:val="22"/>
              </w:rPr>
              <w:t>Montant HT</w:t>
            </w:r>
          </w:p>
        </w:tc>
        <w:tc>
          <w:tcPr>
            <w:tcW w:w="3260" w:type="dxa"/>
            <w:vAlign w:val="center"/>
          </w:tcPr>
          <w:p w14:paraId="1E09AB14" w14:textId="77777777" w:rsidR="0059267F" w:rsidRPr="00B471C7" w:rsidRDefault="0059267F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1C7">
              <w:rPr>
                <w:rFonts w:ascii="Arial" w:hAnsi="Arial" w:cs="Arial"/>
                <w:sz w:val="22"/>
                <w:szCs w:val="22"/>
              </w:rPr>
              <w:t>Montant TTC</w:t>
            </w:r>
          </w:p>
        </w:tc>
      </w:tr>
      <w:tr w:rsidR="0059267F" w:rsidRPr="00B471C7" w14:paraId="2247A84E" w14:textId="77777777" w:rsidTr="007C31C0">
        <w:trPr>
          <w:trHeight w:val="483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7ADC8A" w14:textId="0BBE1916" w:rsidR="0059267F" w:rsidRPr="00B471C7" w:rsidRDefault="0059267F" w:rsidP="001279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1C7">
              <w:rPr>
                <w:rFonts w:ascii="Arial" w:hAnsi="Arial" w:cs="Arial"/>
                <w:sz w:val="22"/>
                <w:szCs w:val="22"/>
              </w:rPr>
              <w:t>Coût estimé de l</w:t>
            </w:r>
            <w:r w:rsidR="00403ADE">
              <w:rPr>
                <w:rFonts w:ascii="Arial" w:hAnsi="Arial" w:cs="Arial"/>
                <w:sz w:val="22"/>
                <w:szCs w:val="22"/>
              </w:rPr>
              <w:t>a mission d</w:t>
            </w:r>
            <w:r w:rsidRPr="00B471C7">
              <w:rPr>
                <w:rFonts w:ascii="Arial" w:hAnsi="Arial" w:cs="Arial"/>
                <w:sz w:val="22"/>
                <w:szCs w:val="22"/>
              </w:rPr>
              <w:t>’</w:t>
            </w:r>
            <w:r w:rsidR="0012796A">
              <w:rPr>
                <w:rFonts w:ascii="Arial" w:hAnsi="Arial" w:cs="Arial"/>
                <w:sz w:val="22"/>
                <w:szCs w:val="22"/>
              </w:rPr>
              <w:t>audit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5E18" w14:textId="77777777" w:rsidR="0059267F" w:rsidRPr="00B471C7" w:rsidRDefault="0059267F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8EE4" w14:textId="77777777" w:rsidR="0059267F" w:rsidRPr="00B471C7" w:rsidRDefault="0059267F" w:rsidP="00604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108C42" w14:textId="77777777" w:rsidR="0059267F" w:rsidRPr="00B471C7" w:rsidRDefault="0059267F" w:rsidP="0059267F">
      <w:pPr>
        <w:jc w:val="both"/>
        <w:rPr>
          <w:rFonts w:ascii="Arial" w:hAnsi="Arial" w:cs="Arial"/>
          <w:sz w:val="22"/>
          <w:szCs w:val="22"/>
        </w:rPr>
      </w:pPr>
    </w:p>
    <w:p w14:paraId="3FE1843D" w14:textId="77777777" w:rsidR="0059267F" w:rsidRPr="00B471C7" w:rsidRDefault="0059267F" w:rsidP="0059267F">
      <w:pPr>
        <w:rPr>
          <w:sz w:val="22"/>
          <w:szCs w:val="22"/>
        </w:rPr>
      </w:pPr>
    </w:p>
    <w:p w14:paraId="499ADDD8" w14:textId="77777777" w:rsidR="0059267F" w:rsidRDefault="0059267F"/>
    <w:sectPr w:rsidR="0059267F" w:rsidSect="007001C7">
      <w:footerReference w:type="even" r:id="rId6"/>
      <w:headerReference w:type="first" r:id="rId7"/>
      <w:footerReference w:type="first" r:id="rId8"/>
      <w:pgSz w:w="11906" w:h="16838"/>
      <w:pgMar w:top="993" w:right="1440" w:bottom="1135" w:left="156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B3FEC" w14:textId="77777777" w:rsidR="009148BB" w:rsidRDefault="009148BB" w:rsidP="0059267F">
      <w:r>
        <w:separator/>
      </w:r>
    </w:p>
  </w:endnote>
  <w:endnote w:type="continuationSeparator" w:id="0">
    <w:p w14:paraId="3ABAA86A" w14:textId="77777777" w:rsidR="009148BB" w:rsidRDefault="009148BB" w:rsidP="0059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20643" w14:textId="77777777" w:rsidR="0069451E" w:rsidRDefault="003634DC">
    <w:pPr>
      <w:pStyle w:val="Pieddepage"/>
      <w:jc w:val="center"/>
      <w:rPr>
        <w:rStyle w:val="Numrodepage"/>
      </w:rPr>
    </w:pPr>
    <w:r>
      <w:fldChar w:fldCharType="begin"/>
    </w:r>
    <w:r>
      <w:rPr>
        <w:rStyle w:val="Numrodepage"/>
      </w:rPr>
      <w:instrText xml:space="preserve"> PAGE </w:instrText>
    </w:r>
    <w:r>
      <w:fldChar w:fldCharType="end"/>
    </w:r>
  </w:p>
  <w:p w14:paraId="22E6FAE1" w14:textId="77777777" w:rsidR="0069451E" w:rsidRDefault="006945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047F" w14:textId="77777777" w:rsidR="0069451E" w:rsidRDefault="003634DC">
    <w:pPr>
      <w:pStyle w:val="Pieddepage"/>
      <w:jc w:val="center"/>
      <w:rPr>
        <w:rStyle w:val="Numrodepage"/>
      </w:rPr>
    </w:pPr>
    <w:r>
      <w:fldChar w:fldCharType="begin"/>
    </w:r>
    <w:r>
      <w:rPr>
        <w:rStyle w:val="Numrodepage"/>
      </w:rPr>
      <w:instrText xml:space="preserve"> PAGE </w:instrText>
    </w:r>
    <w:r>
      <w:fldChar w:fldCharType="separate"/>
    </w:r>
    <w:r>
      <w:rPr>
        <w:rStyle w:val="Numrodepage"/>
        <w:noProof/>
      </w:rPr>
      <w:t>27</w:t>
    </w:r>
    <w:r>
      <w:fldChar w:fldCharType="end"/>
    </w:r>
  </w:p>
  <w:p w14:paraId="73AA49AF" w14:textId="77777777" w:rsidR="0069451E" w:rsidRDefault="006945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A25D9" w14:textId="77777777" w:rsidR="009148BB" w:rsidRDefault="009148BB" w:rsidP="0059267F">
      <w:r>
        <w:separator/>
      </w:r>
    </w:p>
  </w:footnote>
  <w:footnote w:type="continuationSeparator" w:id="0">
    <w:p w14:paraId="58306F09" w14:textId="77777777" w:rsidR="009148BB" w:rsidRDefault="009148BB" w:rsidP="0059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24FE" w14:textId="77777777" w:rsidR="0069451E" w:rsidRDefault="003634DC">
    <w:pPr>
      <w:pStyle w:val="En-tte"/>
      <w:tabs>
        <w:tab w:val="clear" w:pos="4536"/>
        <w:tab w:val="clear" w:pos="9072"/>
        <w:tab w:val="right" w:pos="9386"/>
      </w:tabs>
      <w:ind w:left="-360"/>
      <w:rPr>
        <w:rFonts w:ascii="Verdana" w:hAnsi="Verdana"/>
        <w:sz w:val="36"/>
        <w:szCs w:val="36"/>
      </w:rPr>
    </w:pPr>
    <w:bookmarkStart w:id="0" w:name="_WNSectionTitle_7"/>
    <w:bookmarkStart w:id="1" w:name="_WNTabType_6"/>
    <w:r>
      <w:rPr>
        <w:rFonts w:ascii="Verdana" w:hAnsi="Verdana"/>
        <w:sz w:val="36"/>
        <w:szCs w:val="36"/>
      </w:rPr>
      <w:tab/>
    </w:r>
  </w:p>
  <w:bookmarkEnd w:id="0"/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4"/>
    <w:rsid w:val="000613CC"/>
    <w:rsid w:val="00094582"/>
    <w:rsid w:val="000B2335"/>
    <w:rsid w:val="000C587B"/>
    <w:rsid w:val="000D6820"/>
    <w:rsid w:val="00100C48"/>
    <w:rsid w:val="001119AD"/>
    <w:rsid w:val="0012796A"/>
    <w:rsid w:val="001A5F9B"/>
    <w:rsid w:val="001E2487"/>
    <w:rsid w:val="00225D07"/>
    <w:rsid w:val="00243A11"/>
    <w:rsid w:val="00251B96"/>
    <w:rsid w:val="00253241"/>
    <w:rsid w:val="00332733"/>
    <w:rsid w:val="003634DC"/>
    <w:rsid w:val="003B1766"/>
    <w:rsid w:val="003D3CF3"/>
    <w:rsid w:val="003E2F1C"/>
    <w:rsid w:val="00403ADE"/>
    <w:rsid w:val="00434458"/>
    <w:rsid w:val="004471F5"/>
    <w:rsid w:val="00490075"/>
    <w:rsid w:val="004C7B52"/>
    <w:rsid w:val="0059267F"/>
    <w:rsid w:val="00614307"/>
    <w:rsid w:val="0064525A"/>
    <w:rsid w:val="006550E6"/>
    <w:rsid w:val="00693B87"/>
    <w:rsid w:val="0069451E"/>
    <w:rsid w:val="006C01C6"/>
    <w:rsid w:val="006F34F2"/>
    <w:rsid w:val="00722E06"/>
    <w:rsid w:val="00783B13"/>
    <w:rsid w:val="007C31C0"/>
    <w:rsid w:val="007F69D2"/>
    <w:rsid w:val="008122D6"/>
    <w:rsid w:val="008962FB"/>
    <w:rsid w:val="008D65AB"/>
    <w:rsid w:val="008E3E4A"/>
    <w:rsid w:val="00906AF8"/>
    <w:rsid w:val="009148BB"/>
    <w:rsid w:val="00A26077"/>
    <w:rsid w:val="00A44FB8"/>
    <w:rsid w:val="00AE4220"/>
    <w:rsid w:val="00B6538B"/>
    <w:rsid w:val="00BA2A12"/>
    <w:rsid w:val="00C032C7"/>
    <w:rsid w:val="00C6331F"/>
    <w:rsid w:val="00CD0D3A"/>
    <w:rsid w:val="00D463C7"/>
    <w:rsid w:val="00D6422E"/>
    <w:rsid w:val="00E3230C"/>
    <w:rsid w:val="00E74BB9"/>
    <w:rsid w:val="00ED31F4"/>
    <w:rsid w:val="00F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F110"/>
  <w15:docId w15:val="{B70F7310-54E2-4297-A4C0-01145228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4C7B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4C7B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C7B52"/>
  </w:style>
  <w:style w:type="paragraph" w:styleId="En-tte">
    <w:name w:val="header"/>
    <w:basedOn w:val="Normal"/>
    <w:link w:val="En-tteCar"/>
    <w:rsid w:val="004C7B52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4C7B5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Quiterie de ROQUEFEUIL</cp:lastModifiedBy>
  <cp:revision>5</cp:revision>
  <dcterms:created xsi:type="dcterms:W3CDTF">2026-02-13T11:32:00Z</dcterms:created>
  <dcterms:modified xsi:type="dcterms:W3CDTF">2026-02-20T16:25:00Z</dcterms:modified>
</cp:coreProperties>
</file>